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false"/>
        <w:ind w:left="5102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highlight w:val="none"/>
        </w:rPr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Приложение 1 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5102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highlight w:val="none"/>
        </w:rPr>
        <w:t xml:space="preserve">к Кодексу добросовестного поведения </w:t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акционерного общества 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5102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highlight w:val="none"/>
        </w:rPr>
        <w:t xml:space="preserve">«Специализированный Регистратор «КОМПАС», </w:t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утвержденному Приказом Генерального директора АО «СРК» </w:t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№ 326</w:t>
      </w:r>
      <w:r>
        <w:rPr>
          <w:rFonts w:ascii="Times New Roman" w:hAnsi="Times New Roman" w:cs="Times New Roman" w:eastAsia="Times New Roman"/>
          <w:sz w:val="26"/>
          <w:highlight w:val="none"/>
        </w:rPr>
        <w:t xml:space="preserve"> от 17.12.2021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highlight w:val="non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0"/>
        <w:jc w:val="center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/>
          <w:color w:val="000000"/>
          <w:sz w:val="26"/>
          <w:highlight w:val="none"/>
        </w:rPr>
        <w:t xml:space="preserve">СПОСОБЫ И АДРЕСА НАПРАВЛЕНИЯ ОБРАЩЕНИЙ (ЖАЛОБ)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0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Права потребителей финансовых услуг установлены: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- Федеральным законом от 07.02.1992 № 2300-1 «О защите прав потребителей»»;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- Федеральным законом от 05.03.1999 № 46-ФЗ «О защите прав и законных интересов инвесторов на рынке ценных бумаг»;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- Федеральным законом от 26.12.1995 № 208-ФЗ «Об акционерных обществах»;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- Базовым стандартом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регистраторов</w:t>
      </w: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 (далее – Базовый стандарт)</w:t>
      </w: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Другими законодательными и нормативными актами.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Защита прав получателей финансовых услуг осуществляется </w:t>
      </w: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акционерным обществом «Специализированный Регистратор «КОМПАС» (далее - </w:t>
      </w: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АО «СРК»</w:t>
      </w: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)</w:t>
      </w: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 путем исполнения своих обязанностей перед получателями финансовых услуг в соответствии с требованиями действующего законодательства, Базовым стандартом и договором на ведение и хранение реестра владельцев </w:t>
      </w: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ценных бумаг.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firstLine="709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6"/>
          <w:szCs w:val="24"/>
          <w:highlight w:val="none"/>
        </w:rPr>
        <w:t xml:space="preserve">Получатели финансовых услуг могут защитить свои права следующими способами: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  <w:u w:val="single"/>
        </w:rPr>
        <w:t xml:space="preserve">обратиться в АО «СРК» в целях урегулирования любых претензий, связанных с деятельностью Регистратора: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 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- по адресам местонахождения офисов АО «СРК»;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по почте на адрес АО «СРК»: </w:t>
      </w:r>
      <w:r>
        <w:rPr>
          <w:rFonts w:ascii="Times New Roman" w:hAnsi="Times New Roman" w:cs="Times New Roman" w:eastAsia="Times New Roman"/>
          <w:color w:val="2222CC"/>
          <w:sz w:val="26"/>
          <w:highlight w:val="none"/>
        </w:rPr>
        <w:t xml:space="preserve">654005, г. Новокузнецк, пр. Строителей, 57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- по электронной почте: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 </w:t>
      </w:r>
      <w:hyperlink r:id="rId9" w:tooltip="mailto:compliance@zao-srk.ru" w:history="1">
        <w:r>
          <w:rPr>
            <w:rStyle w:val="777"/>
            <w:rFonts w:ascii="Times New Roman" w:hAnsi="Times New Roman" w:cs="Times New Roman" w:eastAsia="Times New Roman"/>
            <w:color w:val="0000EE"/>
            <w:sz w:val="26"/>
            <w:highlight w:val="none"/>
            <w:u w:val="single"/>
          </w:rPr>
          <w:t xml:space="preserve">compliance@zao-srk.ru</w:t>
        </w:r>
      </w:hyperlink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- через личный кабинет эмитента/акционера.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0"/>
        <w:jc w:val="both"/>
        <w:spacing w:lineRule="auto" w:line="240" w:after="0" w:before="0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 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  <w:u w:val="single"/>
        </w:rPr>
        <w:t xml:space="preserve">обратиться в Саморегулируемую организацию (СРО), членом которой является АО «СРК»: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Саморегулируемая организация «Национальная финансовая ассоциация»: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Адрес официального сайта в сети Интернет: </w:t>
      </w:r>
      <w:hyperlink r:id="rId10" w:tooltip="http://www.nfa.ru" w:history="1">
        <w:r>
          <w:rPr>
            <w:rStyle w:val="777"/>
            <w:rFonts w:ascii="Times New Roman" w:hAnsi="Times New Roman" w:cs="Times New Roman" w:eastAsia="Times New Roman"/>
            <w:color w:val="0563C1"/>
            <w:sz w:val="26"/>
            <w:highlight w:val="none"/>
            <w:u w:val="single"/>
          </w:rPr>
          <w:t xml:space="preserve">www.nfa.ru</w:t>
        </w:r>
      </w:hyperlink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почтовый адрес: </w:t>
      </w:r>
      <w:r>
        <w:rPr>
          <w:rFonts w:ascii="Times New Roman" w:hAnsi="Times New Roman" w:cs="Times New Roman" w:eastAsia="Times New Roman"/>
          <w:color w:val="2222CC"/>
          <w:sz w:val="26"/>
          <w:highlight w:val="none"/>
        </w:rPr>
        <w:t xml:space="preserve">107045 Москва, Большой Сергиевский переулок, 10 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333333"/>
          <w:sz w:val="26"/>
          <w:highlight w:val="none"/>
        </w:rPr>
        <w:t xml:space="preserve">Телефон: +7 (495) 980-98-74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333333"/>
          <w:sz w:val="26"/>
          <w:highlight w:val="none"/>
        </w:rPr>
        <w:t xml:space="preserve">E-mail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: </w:t>
      </w:r>
      <w:hyperlink r:id="rId11" w:tooltip="mailto:info@nfa.ru" w:history="1">
        <w:r>
          <w:rPr>
            <w:rStyle w:val="777"/>
            <w:rFonts w:ascii="Times New Roman" w:hAnsi="Times New Roman" w:cs="Times New Roman" w:eastAsia="Times New Roman"/>
            <w:color w:val="0563C1"/>
            <w:sz w:val="26"/>
            <w:highlight w:val="none"/>
            <w:u w:val="single"/>
          </w:rPr>
          <w:t xml:space="preserve">info@nfa.ru</w:t>
        </w:r>
      </w:hyperlink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9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 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8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  <w:u w:val="single"/>
        </w:rPr>
        <w:t xml:space="preserve">подать обращение (жалобу) в Центральный банк Российской Федерации, осуществляющий полномочия по контролю и надзору за деятельностью регистраторов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 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9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Интернет-приемная Банка России: </w:t>
      </w:r>
      <w:hyperlink r:id="rId12" w:tooltip="http://www.cbr.ru" w:history="1">
        <w:r>
          <w:rPr>
            <w:rStyle w:val="777"/>
            <w:rFonts w:ascii="Times New Roman" w:hAnsi="Times New Roman" w:cs="Times New Roman" w:eastAsia="Times New Roman"/>
            <w:color w:val="0563C1"/>
            <w:sz w:val="26"/>
            <w:highlight w:val="none"/>
            <w:u w:val="single"/>
          </w:rPr>
          <w:t xml:space="preserve">www.cbr.ru</w:t>
        </w:r>
      </w:hyperlink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9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Почтовый адрес для письменных обращений: </w:t>
      </w:r>
      <w:r>
        <w:rPr>
          <w:rFonts w:ascii="Times New Roman" w:hAnsi="Times New Roman" w:cs="Times New Roman" w:eastAsia="Times New Roman"/>
          <w:color w:val="2222CC"/>
          <w:sz w:val="26"/>
          <w:highlight w:val="none"/>
        </w:rPr>
        <w:t xml:space="preserve">107016, г. Москва, ул. Неглинная, д. 12</w:t>
      </w: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, Банк России;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709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color w:val="000000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Номера телефонов контактного центра Банка России: </w:t>
      </w:r>
      <w:r/>
    </w:p>
    <w:p>
      <w:pPr>
        <w:contextualSpacing w:val="false"/>
        <w:ind w:left="0" w:right="0" w:firstLine="709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  <w:t xml:space="preserve">8 (800) 300-30-00, +7(499) 300-30-00.</w:t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p>
      <w:pPr>
        <w:contextualSpacing w:val="false"/>
        <w:ind w:left="0" w:right="0" w:firstLine="0"/>
        <w:jc w:val="both"/>
        <w:spacing w:lineRule="auto" w:line="240" w:after="0" w:before="0"/>
        <w:shd w:val="clear" w:fill="FFFFFF" w:color="FFFFFF"/>
        <w:rPr>
          <w:rFonts w:ascii="Times New Roman" w:hAnsi="Times New Roman" w:cs="Times New Roman" w:eastAsia="Times New Roman"/>
          <w:sz w:val="26"/>
          <w:highlight w:val="none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6"/>
          <w:highlight w:val="none"/>
        </w:rPr>
      </w:r>
      <w:r>
        <w:rPr>
          <w:rFonts w:ascii="Times New Roman" w:hAnsi="Times New Roman" w:cs="Times New Roman" w:eastAsia="Times New Roman"/>
          <w:sz w:val="26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Arial" w:eastAsia="Arial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Heading 1 Char"/>
    <w:link w:val="796"/>
    <w:uiPriority w:val="9"/>
    <w:rPr>
      <w:rFonts w:ascii="Arial" w:hAnsi="Arial" w:cs="Arial" w:eastAsia="Arial"/>
      <w:sz w:val="40"/>
      <w:szCs w:val="40"/>
    </w:rPr>
  </w:style>
  <w:style w:type="character" w:styleId="635">
    <w:name w:val="Heading 2 Char"/>
    <w:link w:val="797"/>
    <w:uiPriority w:val="9"/>
    <w:rPr>
      <w:rFonts w:ascii="Arial" w:hAnsi="Arial" w:cs="Arial" w:eastAsia="Arial"/>
      <w:sz w:val="34"/>
    </w:rPr>
  </w:style>
  <w:style w:type="character" w:styleId="636">
    <w:name w:val="Heading 3 Char"/>
    <w:link w:val="798"/>
    <w:uiPriority w:val="9"/>
    <w:rPr>
      <w:rFonts w:ascii="Arial" w:hAnsi="Arial" w:cs="Arial" w:eastAsia="Arial"/>
      <w:sz w:val="30"/>
      <w:szCs w:val="30"/>
    </w:rPr>
  </w:style>
  <w:style w:type="character" w:styleId="637">
    <w:name w:val="Heading 4 Char"/>
    <w:link w:val="799"/>
    <w:uiPriority w:val="9"/>
    <w:rPr>
      <w:rFonts w:ascii="Arial" w:hAnsi="Arial" w:cs="Arial" w:eastAsia="Arial"/>
      <w:b/>
      <w:bCs/>
      <w:sz w:val="26"/>
      <w:szCs w:val="26"/>
    </w:rPr>
  </w:style>
  <w:style w:type="character" w:styleId="638">
    <w:name w:val="Heading 5 Char"/>
    <w:link w:val="800"/>
    <w:uiPriority w:val="9"/>
    <w:rPr>
      <w:rFonts w:ascii="Arial" w:hAnsi="Arial" w:cs="Arial" w:eastAsia="Arial"/>
      <w:b/>
      <w:bCs/>
      <w:sz w:val="24"/>
      <w:szCs w:val="24"/>
    </w:rPr>
  </w:style>
  <w:style w:type="character" w:styleId="639">
    <w:name w:val="Heading 6 Char"/>
    <w:link w:val="801"/>
    <w:uiPriority w:val="9"/>
    <w:rPr>
      <w:rFonts w:ascii="Arial" w:hAnsi="Arial" w:cs="Arial" w:eastAsia="Arial"/>
      <w:b/>
      <w:bCs/>
      <w:sz w:val="22"/>
      <w:szCs w:val="22"/>
    </w:rPr>
  </w:style>
  <w:style w:type="character" w:styleId="640">
    <w:name w:val="Heading 7 Char"/>
    <w:link w:val="8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41">
    <w:name w:val="Heading 8 Char"/>
    <w:link w:val="803"/>
    <w:uiPriority w:val="9"/>
    <w:rPr>
      <w:rFonts w:ascii="Arial" w:hAnsi="Arial" w:cs="Arial" w:eastAsia="Arial"/>
      <w:i/>
      <w:iCs/>
      <w:sz w:val="22"/>
      <w:szCs w:val="22"/>
    </w:rPr>
  </w:style>
  <w:style w:type="character" w:styleId="642">
    <w:name w:val="Heading 9 Char"/>
    <w:link w:val="804"/>
    <w:uiPriority w:val="9"/>
    <w:rPr>
      <w:rFonts w:ascii="Arial" w:hAnsi="Arial" w:cs="Arial" w:eastAsia="Arial"/>
      <w:i/>
      <w:iCs/>
      <w:sz w:val="21"/>
      <w:szCs w:val="21"/>
    </w:rPr>
  </w:style>
  <w:style w:type="character" w:styleId="643">
    <w:name w:val="Title Char"/>
    <w:link w:val="813"/>
    <w:uiPriority w:val="10"/>
    <w:rPr>
      <w:sz w:val="48"/>
      <w:szCs w:val="48"/>
    </w:rPr>
  </w:style>
  <w:style w:type="character" w:styleId="644">
    <w:name w:val="Subtitle Char"/>
    <w:link w:val="811"/>
    <w:uiPriority w:val="11"/>
    <w:rPr>
      <w:sz w:val="24"/>
      <w:szCs w:val="24"/>
    </w:rPr>
  </w:style>
  <w:style w:type="character" w:styleId="645">
    <w:name w:val="Quote Char"/>
    <w:link w:val="810"/>
    <w:uiPriority w:val="29"/>
    <w:rPr>
      <w:i/>
    </w:rPr>
  </w:style>
  <w:style w:type="character" w:styleId="646">
    <w:name w:val="Intense Quote Char"/>
    <w:link w:val="812"/>
    <w:uiPriority w:val="30"/>
    <w:rPr>
      <w:i/>
    </w:rPr>
  </w:style>
  <w:style w:type="character" w:styleId="647">
    <w:name w:val="Header Char"/>
    <w:link w:val="808"/>
    <w:uiPriority w:val="99"/>
  </w:style>
  <w:style w:type="character" w:styleId="648">
    <w:name w:val="Footer Char"/>
    <w:link w:val="807"/>
    <w:uiPriority w:val="99"/>
  </w:style>
  <w:style w:type="paragraph" w:styleId="649">
    <w:name w:val="Caption"/>
    <w:basedOn w:val="795"/>
    <w:next w:val="79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50">
    <w:name w:val="Caption Char"/>
    <w:basedOn w:val="649"/>
    <w:link w:val="807"/>
    <w:uiPriority w:val="99"/>
  </w:style>
  <w:style w:type="table" w:styleId="651">
    <w:name w:val="Table Grid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2">
    <w:name w:val="Table Grid Light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3">
    <w:name w:val="Plain Table 1"/>
    <w:basedOn w:val="80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2"/>
    <w:basedOn w:val="80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5">
    <w:name w:val="Plain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6">
    <w:name w:val="Plain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7">
    <w:name w:val="Plain Table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58">
    <w:name w:val="Grid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9">
    <w:name w:val="Grid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0">
    <w:name w:val="Grid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1">
    <w:name w:val="Grid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2">
    <w:name w:val="Grid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3">
    <w:name w:val="Grid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4">
    <w:name w:val="Grid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5">
    <w:name w:val="Grid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66">
    <w:name w:val="Grid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67">
    <w:name w:val="Grid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68">
    <w:name w:val="Grid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69">
    <w:name w:val="Grid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70">
    <w:name w:val="Grid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71">
    <w:name w:val="Grid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2">
    <w:name w:val="Grid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3">
    <w:name w:val="Grid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4">
    <w:name w:val="Grid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5">
    <w:name w:val="Grid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80">
    <w:name w:val="Grid Table 4 - Accent 1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81">
    <w:name w:val="Grid Table 4 - Accent 2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82">
    <w:name w:val="Grid Table 4 - Accent 3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83">
    <w:name w:val="Grid Table 4 - Accent 4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84">
    <w:name w:val="Grid Table 4 - Accent 5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85">
    <w:name w:val="Grid Table 4 - Accent 6"/>
    <w:basedOn w:val="80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86">
    <w:name w:val="Grid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687">
    <w:name w:val="Grid Table 5 Dark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688">
    <w:name w:val="Grid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689">
    <w:name w:val="Grid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690">
    <w:name w:val="Grid Table 5 Dark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691">
    <w:name w:val="Grid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692">
    <w:name w:val="Grid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693">
    <w:name w:val="Grid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4">
    <w:name w:val="Grid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695">
    <w:name w:val="Grid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696">
    <w:name w:val="Grid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697">
    <w:name w:val="Grid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698">
    <w:name w:val="Grid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699">
    <w:name w:val="Grid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0">
    <w:name w:val="Grid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List Table 1 Light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List Table 1 Light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List Table 1 Light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List Table 1 Light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List Table 1 Light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List Table 1 Light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List Table 1 Light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List Table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15">
    <w:name w:val="List Table 2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16">
    <w:name w:val="List Table 2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17">
    <w:name w:val="List Table 2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18">
    <w:name w:val="List Table 2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19">
    <w:name w:val="List Table 2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20">
    <w:name w:val="List Table 2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21">
    <w:name w:val="List Table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List Table 3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List Table 3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List Table 3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List Table 3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List Table 3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List Table 3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List Table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List Table 4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4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4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4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5 Dark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6">
    <w:name w:val="List Table 5 Dark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7">
    <w:name w:val="List Table 5 Dark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8">
    <w:name w:val="List Table 5 Dark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9">
    <w:name w:val="List Table 5 Dark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0">
    <w:name w:val="List Table 5 Dark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1">
    <w:name w:val="List Table 5 Dark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2">
    <w:name w:val="List Table 6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43">
    <w:name w:val="List Table 6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44">
    <w:name w:val="List Table 6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45">
    <w:name w:val="List Table 6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46">
    <w:name w:val="List Table 6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47">
    <w:name w:val="List Table 6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48">
    <w:name w:val="List Table 6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49">
    <w:name w:val="List Table 7 Colorful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50">
    <w:name w:val="List Table 7 Colorful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51">
    <w:name w:val="List Table 7 Colorful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52">
    <w:name w:val="List Table 7 Colorful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53">
    <w:name w:val="List Table 7 Colorful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54">
    <w:name w:val="List Table 7 Colorful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55">
    <w:name w:val="List Table 7 Colorful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56">
    <w:name w:val="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57">
    <w:name w:val="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58">
    <w:name w:val="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59">
    <w:name w:val="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0">
    <w:name w:val="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1">
    <w:name w:val="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2">
    <w:name w:val="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63">
    <w:name w:val="Bordered &amp; Lined - Accent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64">
    <w:name w:val="Bordered &amp; Lined - Accent 1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65">
    <w:name w:val="Bordered &amp; Lined - Accent 2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66">
    <w:name w:val="Bordered &amp; Lined - Accent 3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67">
    <w:name w:val="Bordered &amp; Lined - Accent 4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68">
    <w:name w:val="Bordered &amp; Lined - Accent 5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69">
    <w:name w:val="Bordered &amp; Lined - Accent 6"/>
    <w:basedOn w:val="80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70">
    <w:name w:val="Bordered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71">
    <w:name w:val="Bordered - Accent 1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72">
    <w:name w:val="Bordered - Accent 2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73">
    <w:name w:val="Bordered - Accent 3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74">
    <w:name w:val="Bordered - Accent 4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75">
    <w:name w:val="Bordered - Accent 5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76">
    <w:name w:val="Bordered - Accent 6"/>
    <w:basedOn w:val="80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77">
    <w:name w:val="Hyperlink"/>
    <w:uiPriority w:val="99"/>
    <w:unhideWhenUsed/>
    <w:rPr>
      <w:color w:val="0000FF" w:themeColor="hyperlink"/>
      <w:u w:val="single"/>
    </w:rPr>
  </w:style>
  <w:style w:type="paragraph" w:styleId="778">
    <w:name w:val="footnote text"/>
    <w:basedOn w:val="795"/>
    <w:link w:val="779"/>
    <w:uiPriority w:val="99"/>
    <w:semiHidden/>
    <w:unhideWhenUsed/>
    <w:rPr>
      <w:sz w:val="18"/>
    </w:rPr>
    <w:pPr>
      <w:spacing w:lineRule="auto" w:line="240" w:after="40"/>
    </w:pPr>
  </w:style>
  <w:style w:type="character" w:styleId="779">
    <w:name w:val="Footnote Text Char"/>
    <w:link w:val="778"/>
    <w:uiPriority w:val="99"/>
    <w:rPr>
      <w:sz w:val="18"/>
    </w:rPr>
  </w:style>
  <w:style w:type="character" w:styleId="780">
    <w:name w:val="footnote reference"/>
    <w:uiPriority w:val="99"/>
    <w:unhideWhenUsed/>
    <w:rPr>
      <w:vertAlign w:val="superscript"/>
    </w:rPr>
  </w:style>
  <w:style w:type="paragraph" w:styleId="781">
    <w:name w:val="endnote text"/>
    <w:basedOn w:val="795"/>
    <w:link w:val="782"/>
    <w:uiPriority w:val="99"/>
    <w:semiHidden/>
    <w:unhideWhenUsed/>
    <w:rPr>
      <w:sz w:val="20"/>
    </w:rPr>
    <w:pPr>
      <w:spacing w:lineRule="auto" w:line="240" w:after="0"/>
    </w:pPr>
  </w:style>
  <w:style w:type="character" w:styleId="782">
    <w:name w:val="Endnote Text Char"/>
    <w:link w:val="781"/>
    <w:uiPriority w:val="99"/>
    <w:rPr>
      <w:sz w:val="20"/>
    </w:rPr>
  </w:style>
  <w:style w:type="character" w:styleId="783">
    <w:name w:val="endnote reference"/>
    <w:uiPriority w:val="99"/>
    <w:semiHidden/>
    <w:unhideWhenUsed/>
    <w:rPr>
      <w:vertAlign w:val="superscript"/>
    </w:rPr>
  </w:style>
  <w:style w:type="paragraph" w:styleId="784">
    <w:name w:val="toc 1"/>
    <w:basedOn w:val="795"/>
    <w:next w:val="795"/>
    <w:uiPriority w:val="39"/>
    <w:unhideWhenUsed/>
    <w:pPr>
      <w:ind w:left="0" w:right="0" w:firstLine="0"/>
      <w:spacing w:after="57"/>
    </w:pPr>
  </w:style>
  <w:style w:type="paragraph" w:styleId="785">
    <w:name w:val="toc 2"/>
    <w:basedOn w:val="795"/>
    <w:next w:val="795"/>
    <w:uiPriority w:val="39"/>
    <w:unhideWhenUsed/>
    <w:pPr>
      <w:ind w:left="283" w:right="0" w:firstLine="0"/>
      <w:spacing w:after="57"/>
    </w:pPr>
  </w:style>
  <w:style w:type="paragraph" w:styleId="786">
    <w:name w:val="toc 3"/>
    <w:basedOn w:val="795"/>
    <w:next w:val="795"/>
    <w:uiPriority w:val="39"/>
    <w:unhideWhenUsed/>
    <w:pPr>
      <w:ind w:left="567" w:right="0" w:firstLine="0"/>
      <w:spacing w:after="57"/>
    </w:pPr>
  </w:style>
  <w:style w:type="paragraph" w:styleId="787">
    <w:name w:val="toc 4"/>
    <w:basedOn w:val="795"/>
    <w:next w:val="795"/>
    <w:uiPriority w:val="39"/>
    <w:unhideWhenUsed/>
    <w:pPr>
      <w:ind w:left="850" w:right="0" w:firstLine="0"/>
      <w:spacing w:after="57"/>
    </w:pPr>
  </w:style>
  <w:style w:type="paragraph" w:styleId="788">
    <w:name w:val="toc 5"/>
    <w:basedOn w:val="795"/>
    <w:next w:val="795"/>
    <w:uiPriority w:val="39"/>
    <w:unhideWhenUsed/>
    <w:pPr>
      <w:ind w:left="1134" w:right="0" w:firstLine="0"/>
      <w:spacing w:after="57"/>
    </w:pPr>
  </w:style>
  <w:style w:type="paragraph" w:styleId="789">
    <w:name w:val="toc 6"/>
    <w:basedOn w:val="795"/>
    <w:next w:val="795"/>
    <w:uiPriority w:val="39"/>
    <w:unhideWhenUsed/>
    <w:pPr>
      <w:ind w:left="1417" w:right="0" w:firstLine="0"/>
      <w:spacing w:after="57"/>
    </w:pPr>
  </w:style>
  <w:style w:type="paragraph" w:styleId="790">
    <w:name w:val="toc 7"/>
    <w:basedOn w:val="795"/>
    <w:next w:val="795"/>
    <w:uiPriority w:val="39"/>
    <w:unhideWhenUsed/>
    <w:pPr>
      <w:ind w:left="1701" w:right="0" w:firstLine="0"/>
      <w:spacing w:after="57"/>
    </w:pPr>
  </w:style>
  <w:style w:type="paragraph" w:styleId="791">
    <w:name w:val="toc 8"/>
    <w:basedOn w:val="795"/>
    <w:next w:val="795"/>
    <w:uiPriority w:val="39"/>
    <w:unhideWhenUsed/>
    <w:pPr>
      <w:ind w:left="1984" w:right="0" w:firstLine="0"/>
      <w:spacing w:after="57"/>
    </w:pPr>
  </w:style>
  <w:style w:type="paragraph" w:styleId="792">
    <w:name w:val="toc 9"/>
    <w:basedOn w:val="795"/>
    <w:next w:val="795"/>
    <w:uiPriority w:val="39"/>
    <w:unhideWhenUsed/>
    <w:pPr>
      <w:ind w:left="2268" w:right="0" w:firstLine="0"/>
      <w:spacing w:after="57"/>
    </w:pPr>
  </w:style>
  <w:style w:type="paragraph" w:styleId="793">
    <w:name w:val="TOC Heading"/>
    <w:uiPriority w:val="39"/>
    <w:unhideWhenUsed/>
  </w:style>
  <w:style w:type="paragraph" w:styleId="794">
    <w:name w:val="table of figures"/>
    <w:basedOn w:val="795"/>
    <w:next w:val="795"/>
    <w:uiPriority w:val="99"/>
    <w:unhideWhenUsed/>
    <w:pPr>
      <w:spacing w:after="0" w:afterAutospacing="0"/>
    </w:pPr>
  </w:style>
  <w:style w:type="paragraph" w:styleId="795" w:default="1">
    <w:name w:val="Normal"/>
    <w:qFormat/>
  </w:style>
  <w:style w:type="paragraph" w:styleId="796">
    <w:name w:val="Heading 1"/>
    <w:basedOn w:val="795"/>
    <w:next w:val="795"/>
    <w:qFormat/>
    <w:uiPriority w:val="9"/>
    <w:rPr>
      <w:rFonts w:ascii="Arial" w:hAnsi="Arial" w:cs="Arial" w:eastAsia="Arial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797">
    <w:name w:val="Heading 2"/>
    <w:basedOn w:val="795"/>
    <w:next w:val="795"/>
    <w:qFormat/>
    <w:uiPriority w:val="9"/>
    <w:unhideWhenUsed/>
    <w:rPr>
      <w:rFonts w:ascii="Arial" w:hAnsi="Arial" w:cs="Arial" w:eastAsia="Arial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798">
    <w:name w:val="Heading 3"/>
    <w:basedOn w:val="795"/>
    <w:next w:val="795"/>
    <w:qFormat/>
    <w:uiPriority w:val="9"/>
    <w:unhideWhenUsed/>
    <w:rPr>
      <w:rFonts w:ascii="Arial" w:hAnsi="Arial" w:cs="Arial" w:eastAsia="Arial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799">
    <w:name w:val="Heading 4"/>
    <w:basedOn w:val="795"/>
    <w:next w:val="795"/>
    <w:qFormat/>
    <w:uiPriority w:val="9"/>
    <w:unhideWhenUsed/>
    <w:rPr>
      <w:rFonts w:ascii="Arial" w:hAnsi="Arial" w:cs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00">
    <w:name w:val="Heading 5"/>
    <w:basedOn w:val="795"/>
    <w:next w:val="795"/>
    <w:qFormat/>
    <w:uiPriority w:val="9"/>
    <w:unhideWhenUsed/>
    <w:rPr>
      <w:rFonts w:ascii="Arial" w:hAnsi="Arial" w:cs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01">
    <w:name w:val="Heading 6"/>
    <w:basedOn w:val="795"/>
    <w:next w:val="795"/>
    <w:qFormat/>
    <w:uiPriority w:val="9"/>
    <w:unhideWhenUsed/>
    <w:rPr>
      <w:rFonts w:ascii="Arial" w:hAnsi="Arial" w:cs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02">
    <w:name w:val="Heading 7"/>
    <w:basedOn w:val="795"/>
    <w:next w:val="795"/>
    <w:qFormat/>
    <w:uiPriority w:val="9"/>
    <w:unhideWhenUsed/>
    <w:rPr>
      <w:rFonts w:ascii="Arial" w:hAnsi="Arial" w:cs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03">
    <w:name w:val="Heading 8"/>
    <w:basedOn w:val="795"/>
    <w:next w:val="795"/>
    <w:qFormat/>
    <w:uiPriority w:val="9"/>
    <w:unhideWhenUsed/>
    <w:rPr>
      <w:rFonts w:ascii="Arial" w:hAnsi="Arial" w:cs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04">
    <w:name w:val="Heading 9"/>
    <w:basedOn w:val="795"/>
    <w:next w:val="795"/>
    <w:qFormat/>
    <w:uiPriority w:val="9"/>
    <w:unhideWhenUsed/>
    <w:rPr>
      <w:rFonts w:ascii="Arial" w:hAnsi="Arial" w:cs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06" w:default="1">
    <w:name w:val="No List"/>
    <w:uiPriority w:val="99"/>
    <w:semiHidden/>
    <w:unhideWhenUsed/>
  </w:style>
  <w:style w:type="paragraph" w:styleId="807">
    <w:name w:val="Foot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8">
    <w:name w:val="Header"/>
    <w:basedOn w:val="79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09">
    <w:name w:val="No Spacing"/>
    <w:basedOn w:val="795"/>
    <w:qFormat/>
    <w:uiPriority w:val="1"/>
    <w:pPr>
      <w:spacing w:lineRule="auto" w:line="240" w:after="0"/>
    </w:pPr>
  </w:style>
  <w:style w:type="paragraph" w:styleId="810">
    <w:name w:val="Quote"/>
    <w:basedOn w:val="795"/>
    <w:next w:val="795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11">
    <w:name w:val="Subtitle"/>
    <w:basedOn w:val="795"/>
    <w:next w:val="795"/>
    <w:qFormat/>
    <w:uiPriority w:val="11"/>
    <w:rPr>
      <w:rFonts w:ascii="Arial" w:hAnsi="Arial" w:cs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12">
    <w:name w:val="Intense Quote"/>
    <w:basedOn w:val="795"/>
    <w:next w:val="795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EEEEEE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13">
    <w:name w:val="Title"/>
    <w:basedOn w:val="795"/>
    <w:next w:val="795"/>
    <w:qFormat/>
    <w:uiPriority w:val="10"/>
    <w:rPr>
      <w:rFonts w:ascii="Arial" w:hAnsi="Arial" w:cs="Arial" w:eastAsia="Arial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14">
    <w:name w:val="List Paragraph"/>
    <w:basedOn w:val="795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compliance@zao-srk.ru" TargetMode="External"/><Relationship Id="rId10" Type="http://schemas.openxmlformats.org/officeDocument/2006/relationships/hyperlink" Target="http://www.nfa.ru/" TargetMode="External"/><Relationship Id="rId11" Type="http://schemas.openxmlformats.org/officeDocument/2006/relationships/hyperlink" Target="mailto:info@nfa.ru" TargetMode="External"/><Relationship Id="rId12" Type="http://schemas.openxmlformats.org/officeDocument/2006/relationships/hyperlink" Target="http://www.cb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ONLYOFFICE/6.2.0.148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2021-12-17T08:33:12Z</dcterms:modified>
</cp:coreProperties>
</file>